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71" w:rsidRDefault="00B20071" w:rsidP="00A53C73">
      <w:pPr>
        <w:widowControl/>
        <w:spacing w:line="520" w:lineRule="exact"/>
        <w:jc w:val="center"/>
        <w:rPr>
          <w:rFonts w:ascii="標楷體" w:eastAsia="標楷體" w:hAnsi="標楷體"/>
          <w:sz w:val="32"/>
        </w:rPr>
      </w:pPr>
      <w:r w:rsidRPr="00A53C73">
        <w:rPr>
          <w:rFonts w:ascii="標楷體" w:eastAsia="標楷體" w:hAnsi="標楷體"/>
          <w:sz w:val="32"/>
        </w:rPr>
        <w:t>106</w:t>
      </w:r>
      <w:r w:rsidRPr="00A53C73">
        <w:rPr>
          <w:rFonts w:ascii="標楷體" w:eastAsia="標楷體" w:hAnsi="標楷體" w:hint="eastAsia"/>
          <w:sz w:val="32"/>
        </w:rPr>
        <w:t>學年度教學訪問教師計畫</w:t>
      </w:r>
    </w:p>
    <w:p w:rsidR="00B20071" w:rsidRPr="00A53C73" w:rsidRDefault="00B20071" w:rsidP="0036151A">
      <w:pPr>
        <w:widowControl/>
        <w:spacing w:afterLines="50" w:line="520" w:lineRule="exact"/>
        <w:jc w:val="center"/>
        <w:rPr>
          <w:rFonts w:ascii="標楷體" w:eastAsia="標楷體" w:hAnsi="標楷體"/>
          <w:sz w:val="32"/>
        </w:rPr>
      </w:pPr>
      <w:r w:rsidRPr="00A53C73">
        <w:rPr>
          <w:rFonts w:ascii="標楷體" w:eastAsia="標楷體" w:hAnsi="標楷體" w:hint="eastAsia"/>
          <w:b/>
          <w:sz w:val="32"/>
        </w:rPr>
        <w:t>受訪學校</w:t>
      </w:r>
      <w:r w:rsidRPr="00A53C73">
        <w:rPr>
          <w:rFonts w:ascii="標楷體" w:eastAsia="標楷體" w:hAnsi="標楷體" w:hint="eastAsia"/>
          <w:sz w:val="32"/>
        </w:rPr>
        <w:t>申請名單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276"/>
        <w:gridCol w:w="1418"/>
        <w:gridCol w:w="1417"/>
        <w:gridCol w:w="1418"/>
        <w:gridCol w:w="3798"/>
      </w:tblGrid>
      <w:tr w:rsidR="00B20071" w:rsidRPr="00AA1B95" w:rsidTr="00AA1B95">
        <w:trPr>
          <w:trHeight w:val="468"/>
          <w:tblHeader/>
        </w:trPr>
        <w:tc>
          <w:tcPr>
            <w:tcW w:w="1129" w:type="dxa"/>
            <w:shd w:val="clear" w:color="auto" w:fill="E7E6E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縣市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7E6E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教育階段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7E6E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color w:val="000000"/>
              </w:rPr>
              <w:t>鄉鎮市區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7E6E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7E6E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學校類型</w:t>
            </w:r>
          </w:p>
        </w:tc>
        <w:tc>
          <w:tcPr>
            <w:tcW w:w="3798" w:type="dxa"/>
            <w:shd w:val="clear" w:color="auto" w:fill="E7E6E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需求任教領域</w:t>
            </w:r>
            <w:r w:rsidRPr="00AA1B95"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科目或專長</w:t>
            </w:r>
            <w:r w:rsidRPr="00AA1B95"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光復鄉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太巴塱國小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音樂、合唱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光復鄉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大興國小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數學領域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卓溪鄉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古風國小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語文領域專長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觀音國小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不限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壽豐鄉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平和國中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自然或國文領域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豐濱鄉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豐濱國中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鳳林鎮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萬榮國中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國文科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玉東國中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不限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東河鄉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泰源國小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閱讀推動與教學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關山鎮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電光國小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語文科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海端鄉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加拿國小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國語文領域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臺東市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康樂國小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藝文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音樂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卑南鄉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太平國小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數學、語文、社會、自然與生活科技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海端鄉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霧鹿國小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語文、數學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成功鎮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新港國中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英語科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長濱鄉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長濱國中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英文、數學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臺東市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知本國中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臺東市</w:t>
            </w:r>
          </w:p>
        </w:tc>
        <w:tc>
          <w:tcPr>
            <w:tcW w:w="1417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新生國中</w:t>
            </w:r>
          </w:p>
        </w:tc>
        <w:tc>
          <w:tcPr>
            <w:tcW w:w="1418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國文、英語、自然、社會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池上鄉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池上國中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龍門國小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「閱讀、作文教學指導社群」、備課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議課、協同教學、活化教學或創新教學示範、閱讀教學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吉貝國小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藝術與人文領域</w:t>
            </w:r>
            <w:r w:rsidRPr="00AA1B95">
              <w:rPr>
                <w:rFonts w:ascii="標楷體" w:eastAsia="標楷體" w:hAnsi="標楷體"/>
                <w:color w:val="000000"/>
              </w:rPr>
              <w:t>-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西嶼鄉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池東國小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科普活動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望安國小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</w:tr>
      <w:tr w:rsidR="00B20071" w:rsidRPr="00AA1B95" w:rsidTr="00AA1B95">
        <w:trPr>
          <w:trHeight w:val="1024"/>
        </w:trPr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七美國小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議課、協同教學、活化教學或創新教學示範、閱讀教學、科普活動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D9E2F3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馬公市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D9E2F3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社會領域</w:t>
            </w:r>
            <w:r w:rsidRPr="00AA1B95">
              <w:rPr>
                <w:rFonts w:ascii="標楷體" w:eastAsia="標楷體" w:hAnsi="標楷體"/>
                <w:color w:val="000000"/>
              </w:rPr>
              <w:t>(1.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地理專長</w:t>
            </w:r>
            <w:r w:rsidRPr="00AA1B95">
              <w:rPr>
                <w:rFonts w:ascii="標楷體" w:eastAsia="標楷體" w:hAnsi="標楷體"/>
                <w:color w:val="000000"/>
              </w:rPr>
              <w:t>2.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公民專長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湖西國中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國語文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志清國中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數學領域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鎮海國中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英語文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鳥嶼國中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自然與生活科技領域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理化為佳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、社會領域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望安國中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數學、國文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lastRenderedPageBreak/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七美國中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英語為主，若無其他科目也可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關西鎮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富光國中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員東鎮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員東國中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閱讀領域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橫山鄉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華山國中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閱讀領域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  <w:bottom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太平區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東汴國小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議課、課程設計與發展、活化教學或創新教學示範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東勢區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東華國中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和平區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和平國中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芬園鄉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文德國小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自然、生態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99FF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二林鄉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新生國小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99FF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溪州鄉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溪陽國中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自然與生活科技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竹崎鄉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光華國小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議課、課程設計與發展、協同教學、活化教學或創新教學示範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中埔鄉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沄水國小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語文與閱讀、國際教育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中埔鄉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灣潭國小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議課、課程設計與發展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阿里山鄉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達邦國小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語文、藝術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太平國小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自然生態專長教師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太和國小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議課、課程設計與發展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太興國小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議課、課程設計與發展、協同教學、活化教學或創新教學示範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國中小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大埔鄉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大埔國中小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閱讀推動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東門國小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FFC9C9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</w:rPr>
            </w:pPr>
            <w:r w:rsidRPr="00AA1B95">
              <w:rPr>
                <w:rFonts w:ascii="標楷體" w:eastAsia="標楷體" w:hAnsi="標楷體" w:hint="eastAsia"/>
              </w:rPr>
              <w:t>閱讀教學、科普活動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福安國小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9C9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</w:rPr>
            </w:pPr>
            <w:r w:rsidRPr="00AA1B95">
              <w:rPr>
                <w:rFonts w:ascii="標楷體" w:eastAsia="標楷體" w:hAnsi="標楷體" w:hint="eastAsia"/>
              </w:rPr>
              <w:t>閱讀教學、科普活動、國際教育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路竹區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三埤國小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9C9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議課、課程設計與發展、活化教學或創新教學示範、閱讀教學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甲仙區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甲仙國小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語文、數學、社會或自然等領域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那瑪夏區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民權國小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語文、數學、自然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FC9C9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大樹區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溪埔國中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FFC9C9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田寮區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田寮國中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那瑪夏區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那瑪夏國中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東引鄉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東引國小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莒光鄉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東莒國小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北竿鄉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中山國中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自然與生活科技領域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理化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南竿鄉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社會領域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第</w:t>
            </w:r>
            <w:r w:rsidRPr="00AA1B95">
              <w:rPr>
                <w:rFonts w:ascii="標楷體" w:eastAsia="標楷體" w:hAnsi="標楷體"/>
                <w:color w:val="000000"/>
              </w:rPr>
              <w:t>1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優先歷史，第</w:t>
            </w:r>
            <w:r w:rsidRPr="00AA1B95">
              <w:rPr>
                <w:rFonts w:ascii="標楷體" w:eastAsia="標楷體" w:hAnsi="標楷體"/>
                <w:color w:val="000000"/>
              </w:rPr>
              <w:t>2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公民第</w:t>
            </w:r>
            <w:r w:rsidRPr="00AA1B95">
              <w:rPr>
                <w:rFonts w:ascii="標楷體" w:eastAsia="標楷體" w:hAnsi="標楷體"/>
                <w:color w:val="000000"/>
              </w:rPr>
              <w:t>3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地理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口湖鄉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興南國小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B20071" w:rsidRPr="00AA1B95" w:rsidTr="00AA1B95">
        <w:trPr>
          <w:cantSplit/>
        </w:trPr>
        <w:tc>
          <w:tcPr>
            <w:tcW w:w="1129" w:type="dxa"/>
            <w:shd w:val="clear" w:color="auto" w:fill="FFD96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古坑鄉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草嶺生態地質國小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藝術與人文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音樂或美勞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FD96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lastRenderedPageBreak/>
              <w:t>雲林縣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二崙鄉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義賢國小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作文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FD96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水林鄉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大興國小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申請類型為兩校跨校合作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林內鄉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成功國小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課程設計與發展、活化教學或創新教學示範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南澳高中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資訊專長或語文領域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武塔國小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健康與體育領域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健康教育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金門縣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金湖鎮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金湖國中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綜合活動領域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童軍專長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泰安鄉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象鼻國小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國與、英語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、數學、自然與生活科技、社會領域等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ACB9CA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後龍鎮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同光國小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協同教學、活化教學或創新教學示範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通霄鎮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啟新國中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教師專業學習社群、閱讀教學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後壁區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新東國小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0A7ED7">
            <w:pPr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/>
                <w:color w:val="000000"/>
              </w:rPr>
              <w:t>1.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藝文領域</w:t>
            </w:r>
          </w:p>
          <w:p w:rsidR="00B20071" w:rsidRPr="00AA1B95" w:rsidRDefault="00B20071" w:rsidP="000A7ED7">
            <w:pPr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/>
                <w:color w:val="000000"/>
              </w:rPr>
              <w:t>2.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遊藝新東社群、</w:t>
            </w: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議課、課程設計與發展、協同教學、活化教學或創新教學示範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仁德區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文賢國小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議課、課程設計與發展、協同教學、活化教學或創新教學示範、國際教育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關廟區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深坑國小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課程設計與發展、活化教學或創新教學示範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東山區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東原國中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協同教學、活化教學或創新教學示範、閱讀教學、科普活動、國際教育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柳營區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柳營國中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議課、課程設計與發展、協同教學、活化教學或創新教學示範、弱勢學生補救教學、科普活動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七股區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竹橋國中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閱讀教學、國際教育、海洋環境教育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長樂國小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活化教學或創新教學示範、閱讀教學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59FF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泰武鄉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萬安國小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議課、課程設計與發展、活化教學或創新教學示範、閱讀教學</w:t>
            </w:r>
          </w:p>
        </w:tc>
      </w:tr>
      <w:tr w:rsidR="00B20071" w:rsidRPr="00AA1B95" w:rsidTr="00AA1B95">
        <w:trPr>
          <w:cantSplit/>
        </w:trPr>
        <w:tc>
          <w:tcPr>
            <w:tcW w:w="1129" w:type="dxa"/>
            <w:shd w:val="clear" w:color="auto" w:fill="F59FF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萬巒鄉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赤山國小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議課、課程設計與發展、協同教學、活化教學或創新教學示範、閱讀教學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59FF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滿州國中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議課、協同教學、活化教學或創新教學示範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59FF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新埤鄉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新埤國中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「寫作、數學教學社群」、活化教學或創新教學示範、閱讀教學</w:t>
            </w:r>
          </w:p>
        </w:tc>
      </w:tr>
    </w:tbl>
    <w:p w:rsidR="00B20071" w:rsidRPr="00EF48EE" w:rsidRDefault="00B20071">
      <w:bookmarkStart w:id="0" w:name="_GoBack"/>
      <w:bookmarkEnd w:id="0"/>
    </w:p>
    <w:sectPr w:rsidR="00B20071" w:rsidRPr="00EF48EE" w:rsidSect="00E719F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71" w:rsidRDefault="00B20071" w:rsidP="00EF48EE">
      <w:r>
        <w:separator/>
      </w:r>
    </w:p>
  </w:endnote>
  <w:endnote w:type="continuationSeparator" w:id="1">
    <w:p w:rsidR="00B20071" w:rsidRDefault="00B20071" w:rsidP="00EF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71" w:rsidRDefault="00B20071" w:rsidP="00EF48EE">
      <w:r>
        <w:separator/>
      </w:r>
    </w:p>
  </w:footnote>
  <w:footnote w:type="continuationSeparator" w:id="1">
    <w:p w:rsidR="00B20071" w:rsidRDefault="00B20071" w:rsidP="00EF4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DB9"/>
    <w:multiLevelType w:val="hybridMultilevel"/>
    <w:tmpl w:val="B6961818"/>
    <w:lvl w:ilvl="0" w:tplc="767E1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1E8"/>
    <w:rsid w:val="00025002"/>
    <w:rsid w:val="000A5A6C"/>
    <w:rsid w:val="000A7ED7"/>
    <w:rsid w:val="000B57FB"/>
    <w:rsid w:val="000E79E5"/>
    <w:rsid w:val="001405F7"/>
    <w:rsid w:val="00152364"/>
    <w:rsid w:val="001B62E2"/>
    <w:rsid w:val="001D4BF6"/>
    <w:rsid w:val="00201AF9"/>
    <w:rsid w:val="00244F13"/>
    <w:rsid w:val="00257F30"/>
    <w:rsid w:val="002C6ACC"/>
    <w:rsid w:val="002D41E8"/>
    <w:rsid w:val="0036151A"/>
    <w:rsid w:val="003709E0"/>
    <w:rsid w:val="00396875"/>
    <w:rsid w:val="003B2C2D"/>
    <w:rsid w:val="003C6E31"/>
    <w:rsid w:val="00424600"/>
    <w:rsid w:val="00435AC7"/>
    <w:rsid w:val="004E2B58"/>
    <w:rsid w:val="005371A7"/>
    <w:rsid w:val="0055048A"/>
    <w:rsid w:val="005640B6"/>
    <w:rsid w:val="005A535D"/>
    <w:rsid w:val="00611588"/>
    <w:rsid w:val="00644935"/>
    <w:rsid w:val="00663CB3"/>
    <w:rsid w:val="00670B9B"/>
    <w:rsid w:val="006B134E"/>
    <w:rsid w:val="006B64CF"/>
    <w:rsid w:val="006C179C"/>
    <w:rsid w:val="00726BDF"/>
    <w:rsid w:val="007F74FD"/>
    <w:rsid w:val="00802B38"/>
    <w:rsid w:val="00840952"/>
    <w:rsid w:val="009032F0"/>
    <w:rsid w:val="00930407"/>
    <w:rsid w:val="009534E7"/>
    <w:rsid w:val="009961B7"/>
    <w:rsid w:val="009A0185"/>
    <w:rsid w:val="009B30BD"/>
    <w:rsid w:val="009E6F8B"/>
    <w:rsid w:val="00A53C73"/>
    <w:rsid w:val="00A71095"/>
    <w:rsid w:val="00A74689"/>
    <w:rsid w:val="00AA1B95"/>
    <w:rsid w:val="00AE4DC1"/>
    <w:rsid w:val="00AF7CCF"/>
    <w:rsid w:val="00B20071"/>
    <w:rsid w:val="00B51140"/>
    <w:rsid w:val="00C36311"/>
    <w:rsid w:val="00C40642"/>
    <w:rsid w:val="00C762CC"/>
    <w:rsid w:val="00D97540"/>
    <w:rsid w:val="00DA4C47"/>
    <w:rsid w:val="00E1100E"/>
    <w:rsid w:val="00E23B0F"/>
    <w:rsid w:val="00E2727A"/>
    <w:rsid w:val="00E719F2"/>
    <w:rsid w:val="00E91CA6"/>
    <w:rsid w:val="00EC1067"/>
    <w:rsid w:val="00ED2419"/>
    <w:rsid w:val="00EF48EE"/>
    <w:rsid w:val="00F2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uiPriority w:val="99"/>
    <w:rsid w:val="002D41E8"/>
    <w:rPr>
      <w:color w:val="C4591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paragraph" w:styleId="a3">
    <w:name w:val="Balloon Text"/>
    <w:basedOn w:val="a"/>
    <w:link w:val="a4"/>
    <w:uiPriority w:val="99"/>
    <w:semiHidden/>
    <w:rsid w:val="002D41E8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D41E8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F48E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F48EE"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EF48E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rsid w:val="00257F3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257F30"/>
  </w:style>
  <w:style w:type="character" w:customStyle="1" w:styleId="ac">
    <w:name w:val="註解文字 字元"/>
    <w:basedOn w:val="a0"/>
    <w:link w:val="ab"/>
    <w:uiPriority w:val="99"/>
    <w:semiHidden/>
    <w:locked/>
    <w:rsid w:val="00257F30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257F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257F30"/>
    <w:rPr>
      <w:b/>
      <w:bCs/>
    </w:rPr>
  </w:style>
  <w:style w:type="paragraph" w:styleId="af">
    <w:name w:val="List Paragraph"/>
    <w:basedOn w:val="a"/>
    <w:uiPriority w:val="99"/>
    <w:qFormat/>
    <w:rsid w:val="000A7ED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106學年度教學訪問教師計畫</dc:title>
  <dc:creator>NKUHT</dc:creator>
  <cp:lastModifiedBy>user</cp:lastModifiedBy>
  <cp:revision>2</cp:revision>
  <cp:lastPrinted>2017-02-14T01:20:00Z</cp:lastPrinted>
  <dcterms:created xsi:type="dcterms:W3CDTF">2017-03-29T06:59:00Z</dcterms:created>
  <dcterms:modified xsi:type="dcterms:W3CDTF">2017-03-29T06:59:00Z</dcterms:modified>
</cp:coreProperties>
</file>